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right="-72" w:rightChars="-30"/>
        <w:rPr>
          <w:rFonts w:hint="eastAsia" w:ascii="宋体" w:hAnsi="宋体" w:cs="宋体"/>
        </w:rPr>
      </w:pPr>
      <w:r>
        <w:rPr>
          <w:rFonts w:hint="eastAsia" w:ascii="宋体" w:hAnsi="宋体" w:cs="宋体"/>
        </w:rPr>
        <w:t>第四章 采购需求</w:t>
      </w:r>
    </w:p>
    <w:p>
      <w:pPr>
        <w:widowControl/>
        <w:adjustRightInd w:val="0"/>
        <w:spacing w:line="360" w:lineRule="auto"/>
        <w:rPr>
          <w:rFonts w:ascii="宋体" w:hAnsi="宋体"/>
          <w:b/>
          <w:kern w:val="0"/>
          <w:sz w:val="21"/>
          <w:szCs w:val="21"/>
        </w:rPr>
      </w:pPr>
      <w:r>
        <w:rPr>
          <w:rFonts w:hint="eastAsia" w:ascii="宋体" w:hAnsi="宋体"/>
          <w:b/>
          <w:kern w:val="0"/>
          <w:sz w:val="21"/>
          <w:szCs w:val="21"/>
        </w:rPr>
        <w:t>一、</w:t>
      </w:r>
      <w:r>
        <w:rPr>
          <w:rFonts w:ascii="宋体" w:hAnsi="宋体"/>
          <w:b/>
          <w:kern w:val="0"/>
          <w:sz w:val="21"/>
          <w:szCs w:val="21"/>
        </w:rPr>
        <w:t>相关说明</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为进一步完善我县居家养老服务体系，提升老年人居家生活品质和生活自理能力，根据《国务院办公厅关于推进养老服务发展的意见》（国办发〔2019〕5号）、《民政部 国家发展改革委 财政部 住房和城乡建设部 国家卫生健康委 银保监会 国务院扶贫办 中国残联 全国老龄办关于加快实施老年人居家适老化改造工程的指导意见》（民发〔2020〕86号）、《河南省民政厅加快推进养老服务重点任务落实的通知》（豫民文〔2021〕124号）、《河南省家庭养老床位试点建设工作指导意见》《焦作市老年人家庭适老化改造工作方案》等文件要求，通过改善老年人的居家生活环境，降低在家庭发生意外的风险，同时通过提供居家照护服务，破解老年人居家养老难题，增强老年人居家生活的安全性和便利性，提升老年人的幸福感、获得感、安全感。</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1.服务对象</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家庭养老照护床位实施对象数量为</w:t>
      </w:r>
      <w:r>
        <w:rPr>
          <w:rFonts w:hint="eastAsia" w:ascii="宋体" w:hAnsi="宋体" w:eastAsia="宋体" w:cs="宋体"/>
          <w:sz w:val="21"/>
          <w:szCs w:val="21"/>
          <w:lang w:val="en-US" w:eastAsia="zh-CN"/>
        </w:rPr>
        <w:t>200</w:t>
      </w:r>
      <w:r>
        <w:rPr>
          <w:rFonts w:hint="eastAsia" w:ascii="宋体" w:hAnsi="宋体" w:eastAsia="宋体" w:cs="宋体"/>
          <w:sz w:val="21"/>
          <w:szCs w:val="21"/>
          <w:lang w:eastAsia="zh-CN"/>
        </w:rPr>
        <w:t>人，在纳入家庭适老化改造范围的老年人中，选取有养老专业服务需求但因各种原因无法入住养老机构或目前家庭有一定的照料条件暂时不需要入住养老机构的，且身体状况经评估为失能、半失能、失智或重度残疾的老年人，经县民政局综合评估后确定为家庭养老照护床位实施对象。</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2.补贴标准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rPr>
          <w:rStyle w:val="9"/>
          <w:rFonts w:hint="eastAsia" w:ascii="宋体" w:hAnsi="宋体" w:eastAsia="宋体" w:cs="宋体"/>
          <w:b w:val="0"/>
          <w:bCs/>
          <w:color w:val="auto"/>
          <w:sz w:val="21"/>
          <w:szCs w:val="21"/>
          <w:highlight w:val="none"/>
        </w:rPr>
      </w:pPr>
      <w:r>
        <w:rPr>
          <w:rStyle w:val="9"/>
          <w:rFonts w:hint="eastAsia" w:ascii="宋体" w:hAnsi="宋体" w:eastAsia="宋体" w:cs="宋体"/>
          <w:b w:val="0"/>
          <w:bCs/>
          <w:color w:val="auto"/>
          <w:sz w:val="21"/>
          <w:szCs w:val="21"/>
          <w:highlight w:val="none"/>
        </w:rPr>
        <w:t>对纳入家庭养老照护床位的老年人，按照2500元/年/人的标准进行服务补贴，如有超出部分，由老人家庭自行负担。</w:t>
      </w:r>
    </w:p>
    <w:p>
      <w:pPr>
        <w:keepNext w:val="0"/>
        <w:keepLines w:val="0"/>
        <w:pageBreakBefore w:val="0"/>
        <w:widowControl/>
        <w:kinsoku/>
        <w:wordWrap/>
        <w:overflowPunct/>
        <w:topLinePunct w:val="0"/>
        <w:autoSpaceDE/>
        <w:autoSpaceDN/>
        <w:bidi w:val="0"/>
        <w:adjustRightInd w:val="0"/>
        <w:snapToGrid/>
        <w:spacing w:line="440" w:lineRule="exact"/>
        <w:textAlignment w:val="auto"/>
        <w:rPr>
          <w:rFonts w:hint="eastAsia" w:ascii="宋体" w:hAnsi="宋体"/>
          <w:b/>
          <w:kern w:val="0"/>
          <w:sz w:val="21"/>
          <w:szCs w:val="21"/>
        </w:rPr>
      </w:pPr>
      <w:r>
        <w:rPr>
          <w:rFonts w:hint="eastAsia" w:ascii="宋体" w:hAnsi="宋体"/>
          <w:b/>
          <w:kern w:val="0"/>
          <w:sz w:val="21"/>
          <w:szCs w:val="21"/>
        </w:rPr>
        <w:t xml:space="preserve">二、商务要求： </w:t>
      </w:r>
    </w:p>
    <w:p>
      <w:pPr>
        <w:keepNext w:val="0"/>
        <w:keepLines w:val="0"/>
        <w:pageBreakBefore w:val="0"/>
        <w:numPr>
          <w:ilvl w:val="2"/>
          <w:numId w:val="1"/>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合同履行期限：</w:t>
      </w:r>
      <w:r>
        <w:rPr>
          <w:rFonts w:hint="eastAsia" w:ascii="宋体" w:hAnsi="宋体"/>
          <w:sz w:val="21"/>
          <w:szCs w:val="21"/>
          <w:highlight w:val="none"/>
          <w:lang w:eastAsia="zh-CN"/>
        </w:rPr>
        <w:t>服务合同签订之日起一年</w:t>
      </w:r>
      <w:r>
        <w:rPr>
          <w:rFonts w:hint="eastAsia" w:ascii="宋体" w:hAnsi="宋体"/>
          <w:sz w:val="21"/>
          <w:szCs w:val="21"/>
          <w:highlight w:val="none"/>
        </w:rPr>
        <w:t xml:space="preserve"> </w:t>
      </w:r>
    </w:p>
    <w:p>
      <w:pPr>
        <w:keepNext w:val="0"/>
        <w:keepLines w:val="0"/>
        <w:pageBreakBefore w:val="0"/>
        <w:numPr>
          <w:ilvl w:val="2"/>
          <w:numId w:val="1"/>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rPr>
      </w:pPr>
      <w:r>
        <w:rPr>
          <w:rFonts w:hint="eastAsia" w:ascii="宋体" w:hAnsi="宋体"/>
          <w:sz w:val="21"/>
          <w:szCs w:val="21"/>
          <w:lang w:eastAsia="zh-CN"/>
        </w:rPr>
        <w:t>服务</w:t>
      </w:r>
      <w:r>
        <w:rPr>
          <w:rFonts w:hint="eastAsia" w:ascii="宋体" w:hAnsi="宋体"/>
          <w:sz w:val="21"/>
          <w:szCs w:val="21"/>
        </w:rPr>
        <w:t>地点：武陟县区域内</w:t>
      </w:r>
    </w:p>
    <w:p>
      <w:pPr>
        <w:keepNext w:val="0"/>
        <w:keepLines w:val="0"/>
        <w:pageBreakBefore w:val="0"/>
        <w:numPr>
          <w:ilvl w:val="2"/>
          <w:numId w:val="1"/>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lang w:val="en-US" w:eastAsia="zh-CN"/>
        </w:rPr>
        <w:t>服务要求：居家养老服务工作应当严格遵守国家的有关法律法规、制度规定及有关执业规范要求；</w:t>
      </w:r>
    </w:p>
    <w:p>
      <w:pPr>
        <w:keepNext w:val="0"/>
        <w:keepLines w:val="0"/>
        <w:pageBreakBefore w:val="0"/>
        <w:numPr>
          <w:ilvl w:val="2"/>
          <w:numId w:val="1"/>
        </w:numPr>
        <w:kinsoku/>
        <w:wordWrap/>
        <w:overflowPunct/>
        <w:topLinePunct w:val="0"/>
        <w:autoSpaceDE/>
        <w:autoSpaceDN/>
        <w:bidi w:val="0"/>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付款方式：采用先服务后支付的结算原则，每季度结算一次，由民政局或第三方评估机构进行评估，根据评估结果支付上季度服务费用。</w:t>
      </w:r>
    </w:p>
    <w:p>
      <w:pPr>
        <w:keepNext w:val="0"/>
        <w:keepLines w:val="0"/>
        <w:pageBreakBefore w:val="0"/>
        <w:widowControl/>
        <w:numPr>
          <w:ilvl w:val="0"/>
          <w:numId w:val="0"/>
        </w:numPr>
        <w:kinsoku/>
        <w:wordWrap/>
        <w:overflowPunct/>
        <w:topLinePunct w:val="0"/>
        <w:autoSpaceDE/>
        <w:autoSpaceDN/>
        <w:bidi w:val="0"/>
        <w:adjustRightInd w:val="0"/>
        <w:snapToGrid/>
        <w:spacing w:line="440" w:lineRule="exact"/>
        <w:ind w:leftChars="0"/>
        <w:textAlignment w:val="auto"/>
        <w:rPr>
          <w:rFonts w:hint="eastAsia" w:ascii="宋体" w:hAnsi="宋体" w:eastAsia="宋体"/>
          <w:b/>
          <w:kern w:val="0"/>
          <w:sz w:val="21"/>
          <w:szCs w:val="21"/>
          <w:lang w:eastAsia="zh-CN"/>
        </w:rPr>
      </w:pPr>
      <w:r>
        <w:rPr>
          <w:rFonts w:hint="eastAsia" w:ascii="宋体" w:hAnsi="宋体"/>
          <w:b/>
          <w:kern w:val="0"/>
          <w:sz w:val="21"/>
          <w:szCs w:val="21"/>
          <w:lang w:eastAsia="zh-CN"/>
        </w:rPr>
        <w:t>三、</w:t>
      </w:r>
      <w:r>
        <w:rPr>
          <w:rFonts w:hint="eastAsia" w:ascii="宋体" w:hAnsi="宋体"/>
          <w:b/>
          <w:kern w:val="0"/>
          <w:sz w:val="21"/>
          <w:szCs w:val="21"/>
        </w:rPr>
        <w:t>采购内容</w:t>
      </w:r>
      <w:r>
        <w:rPr>
          <w:rFonts w:hint="eastAsia" w:ascii="宋体" w:hAnsi="宋体"/>
          <w:b/>
          <w:kern w:val="0"/>
          <w:sz w:val="21"/>
          <w:szCs w:val="21"/>
          <w:lang w:eastAsia="zh-CN"/>
        </w:rPr>
        <w:t>及要求</w:t>
      </w: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1.家庭养老照护床位服务项目</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color w:val="auto"/>
          <w:sz w:val="21"/>
          <w:szCs w:val="21"/>
        </w:rPr>
        <w:t>由服务对象或监护人与签约养老服务机构共同商定，主要包括信息服务、生活照料、居家护理等服务，并参照养老机构的管理和服务标准，为服务对象提供居家照护服务。具体项目需求清单如下：</w:t>
      </w:r>
    </w:p>
    <w:tbl>
      <w:tblPr>
        <w:tblStyle w:val="7"/>
        <w:tblW w:w="9690" w:type="dxa"/>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765"/>
        <w:gridCol w:w="1350"/>
        <w:gridCol w:w="3435"/>
        <w:gridCol w:w="1185"/>
        <w:gridCol w:w="1125"/>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0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napToGrid/>
                <w:color w:val="auto"/>
                <w:sz w:val="21"/>
                <w:szCs w:val="21"/>
              </w:rPr>
            </w:pPr>
            <w:r>
              <w:rPr>
                <w:rFonts w:hint="eastAsia" w:ascii="宋体" w:hAnsi="宋体" w:eastAsia="宋体" w:cs="宋体"/>
                <w:b/>
                <w:bCs/>
                <w:snapToGrid/>
                <w:color w:val="auto"/>
                <w:sz w:val="21"/>
                <w:szCs w:val="21"/>
              </w:rPr>
              <w:t>序号</w:t>
            </w:r>
          </w:p>
        </w:tc>
        <w:tc>
          <w:tcPr>
            <w:tcW w:w="7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napToGrid/>
                <w:color w:val="auto"/>
                <w:sz w:val="21"/>
                <w:szCs w:val="21"/>
              </w:rPr>
            </w:pPr>
            <w:r>
              <w:rPr>
                <w:rFonts w:hint="eastAsia" w:ascii="宋体" w:hAnsi="宋体" w:eastAsia="宋体" w:cs="宋体"/>
                <w:b/>
                <w:bCs/>
                <w:snapToGrid/>
                <w:color w:val="auto"/>
                <w:sz w:val="21"/>
                <w:szCs w:val="21"/>
              </w:rPr>
              <w:t>类别</w:t>
            </w: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napToGrid/>
                <w:color w:val="auto"/>
                <w:sz w:val="21"/>
                <w:szCs w:val="21"/>
              </w:rPr>
            </w:pPr>
            <w:r>
              <w:rPr>
                <w:rFonts w:hint="eastAsia" w:ascii="宋体" w:hAnsi="宋体" w:eastAsia="宋体" w:cs="宋体"/>
                <w:b/>
                <w:bCs/>
                <w:snapToGrid/>
                <w:color w:val="auto"/>
                <w:sz w:val="21"/>
                <w:szCs w:val="21"/>
              </w:rPr>
              <w:t>服务项目</w:t>
            </w:r>
          </w:p>
        </w:tc>
        <w:tc>
          <w:tcPr>
            <w:tcW w:w="343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napToGrid/>
                <w:color w:val="auto"/>
                <w:sz w:val="21"/>
                <w:szCs w:val="21"/>
              </w:rPr>
            </w:pPr>
            <w:r>
              <w:rPr>
                <w:rFonts w:hint="eastAsia" w:ascii="宋体" w:hAnsi="宋体" w:eastAsia="宋体" w:cs="宋体"/>
                <w:b/>
                <w:bCs/>
                <w:snapToGrid/>
                <w:color w:val="auto"/>
                <w:sz w:val="21"/>
                <w:szCs w:val="21"/>
              </w:rPr>
              <w:t>服务内容</w:t>
            </w:r>
          </w:p>
        </w:tc>
        <w:tc>
          <w:tcPr>
            <w:tcW w:w="118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napToGrid/>
                <w:color w:val="auto"/>
                <w:sz w:val="21"/>
                <w:szCs w:val="21"/>
              </w:rPr>
            </w:pPr>
            <w:r>
              <w:rPr>
                <w:rFonts w:hint="eastAsia" w:ascii="宋体" w:hAnsi="宋体" w:eastAsia="宋体" w:cs="宋体"/>
                <w:b/>
                <w:bCs/>
                <w:snapToGrid/>
                <w:color w:val="auto"/>
                <w:sz w:val="21"/>
                <w:szCs w:val="21"/>
              </w:rPr>
              <w:t>服务频次</w:t>
            </w:r>
          </w:p>
        </w:tc>
        <w:tc>
          <w:tcPr>
            <w:tcW w:w="112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napToGrid/>
                <w:color w:val="auto"/>
                <w:sz w:val="21"/>
                <w:szCs w:val="21"/>
              </w:rPr>
            </w:pPr>
            <w:r>
              <w:rPr>
                <w:rFonts w:hint="eastAsia" w:ascii="宋体" w:hAnsi="宋体" w:eastAsia="宋体" w:cs="宋体"/>
                <w:b/>
                <w:bCs/>
                <w:snapToGrid/>
                <w:color w:val="auto"/>
                <w:sz w:val="21"/>
                <w:szCs w:val="21"/>
              </w:rPr>
              <w:t>服务时长</w:t>
            </w:r>
          </w:p>
        </w:tc>
        <w:tc>
          <w:tcPr>
            <w:tcW w:w="123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napToGrid/>
                <w:color w:val="auto"/>
                <w:sz w:val="21"/>
                <w:szCs w:val="21"/>
              </w:rPr>
            </w:pPr>
            <w:r>
              <w:rPr>
                <w:rFonts w:hint="eastAsia" w:ascii="宋体" w:hAnsi="宋体" w:eastAsia="宋体" w:cs="宋体"/>
                <w:b/>
                <w:bCs/>
                <w:snapToGrid/>
                <w:color w:val="auto"/>
                <w:sz w:val="21"/>
                <w:szCs w:val="21"/>
              </w:rPr>
              <w:t>服务价格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w:t>
            </w:r>
          </w:p>
        </w:tc>
        <w:tc>
          <w:tcPr>
            <w:tcW w:w="765"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信息服务</w:t>
            </w:r>
          </w:p>
        </w:tc>
        <w:tc>
          <w:tcPr>
            <w:tcW w:w="13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智能监测</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napToGrid/>
                <w:color w:val="auto"/>
                <w:sz w:val="21"/>
                <w:szCs w:val="21"/>
              </w:rPr>
            </w:pPr>
            <w:r>
              <w:rPr>
                <w:rFonts w:hint="eastAsia" w:ascii="宋体" w:hAnsi="宋体" w:eastAsia="宋体" w:cs="宋体"/>
                <w:snapToGrid/>
                <w:color w:val="auto"/>
                <w:sz w:val="21"/>
                <w:szCs w:val="21"/>
              </w:rPr>
              <w:t>通过配备相应的设备，每日对服务对象的健康及活动状况进行数据监测，对异常数据进行预警提示。</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全天</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全年</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10元/月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服务响应</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签约服务对象主动发出求助信息或数据监测预警时，及时予以响应，并为服务对象提供安全协助、信息通报、服务转介等服务。</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全天</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全年</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10元/月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2</w:t>
            </w:r>
          </w:p>
        </w:tc>
        <w:tc>
          <w:tcPr>
            <w:tcW w:w="765"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生活照料</w:t>
            </w:r>
          </w:p>
        </w:tc>
        <w:tc>
          <w:tcPr>
            <w:tcW w:w="13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送餐上门</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只限送餐费，每次按照半小时计算</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半小时</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3元/次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居家保洁</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包括老人居室环境清洁、消毒、窗帘清洗、洗衣、床褥被单更换清洗整理、日常餐具清洗消毒</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视老人居家环境而定</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协助陪同</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就医</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陪同老年人家属、送老年人到医院就诊服务</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视老人具体情况而定</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代办业务</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包括代为挂号、代取药、代购物、代缴费</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视老人具体情况而定</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协助陪同</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外出</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协助老年人上下楼、陪护老年人户外活动</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视老人具体情况而定</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30元/时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上门助浴</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包括浴室洗澡或床上擦浴，修剪指/趾甲（不含灰指甲）等</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1次/月</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30-60分钟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身体清洁</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协助卧床老年人进行卧位洗头及面部清洁，对不能自理老年人采用棉棒、棉球擦拭清洁口腔</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1次/月</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20-30分钟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理发</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带工具上门理发，含剃须</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1次/月</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20-30分钟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修剪指/趾甲</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日常修剪手、脚指甲，不含灰指甲</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10-30分钟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协助就餐</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经口喂食，按时喂饭、喂水、喂水果、喂药</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15-30分钟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0"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3</w:t>
            </w:r>
          </w:p>
        </w:tc>
        <w:tc>
          <w:tcPr>
            <w:tcW w:w="765"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居家护理</w:t>
            </w: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康复训练</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对有可能恢复自理能力的老年人进行康复训练，配合老年人参加社交活动，加强精神安慰。</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30分钟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流食制作鼻饲</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为老年人准备流食（包括操作前后工具清洗、消毒，老人家中需备有制作流食工具）以及鼻饲</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20-30分钟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失禁排泄护理</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为大小便失禁的护理对象进行护理，保持局部皮肤的清洁，增加护理对象舒适；协助部分失能老人如厕等</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15-30分钟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褥疮压疮护理</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对易发生压疮的护理对象采取定时翻身、气垫减压等方法预防压疮的发生。为护理对象提供心理支持及压疮护理的健康指导。</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15-30分钟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会阴护理</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根据会阴部有无伤口、有无大小便失禁和留置尿管等，鼓励并协助护理对象完成会阴部的擦洗或冲洗。</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10-20分钟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0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765"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p>
        </w:tc>
        <w:tc>
          <w:tcPr>
            <w:tcW w:w="135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皮肤外用药涂擦</w:t>
            </w:r>
          </w:p>
        </w:tc>
        <w:tc>
          <w:tcPr>
            <w:tcW w:w="343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遵医嘱用棉签等蘸取药液直接涂抹护理对象在皮肤上进行治疗。</w:t>
            </w:r>
          </w:p>
        </w:tc>
        <w:tc>
          <w:tcPr>
            <w:tcW w:w="118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必要时</w:t>
            </w:r>
          </w:p>
        </w:tc>
        <w:tc>
          <w:tcPr>
            <w:tcW w:w="112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10-20分钟</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napToGrid/>
                <w:color w:val="auto"/>
                <w:sz w:val="21"/>
                <w:szCs w:val="21"/>
              </w:rPr>
            </w:pPr>
            <w:r>
              <w:rPr>
                <w:rFonts w:hint="eastAsia" w:ascii="宋体" w:hAnsi="宋体" w:eastAsia="宋体" w:cs="宋体"/>
                <w:snapToGrid/>
                <w:color w:val="auto"/>
                <w:sz w:val="21"/>
                <w:szCs w:val="21"/>
              </w:rPr>
              <w:t>60元/时</w:t>
            </w:r>
          </w:p>
        </w:tc>
      </w:tr>
    </w:tbl>
    <w:p>
      <w:pPr>
        <w:pStyle w:val="10"/>
        <w:keepNext w:val="0"/>
        <w:keepLines w:val="0"/>
        <w:pageBreakBefore w:val="0"/>
        <w:widowControl/>
        <w:kinsoku/>
        <w:wordWrap/>
        <w:overflowPunct/>
        <w:topLinePunct w:val="0"/>
        <w:autoSpaceDE/>
        <w:autoSpaceDN/>
        <w:bidi w:val="0"/>
        <w:snapToGrid/>
        <w:spacing w:line="440" w:lineRule="exact"/>
        <w:ind w:firstLine="422" w:firstLineChars="200"/>
        <w:textAlignment w:val="auto"/>
        <w:rPr>
          <w:rFonts w:hint="eastAsia" w:ascii="宋体" w:hAnsi="宋体" w:eastAsia="宋体" w:cs="宋体"/>
          <w:b w:val="0"/>
          <w:bCs/>
          <w:sz w:val="21"/>
          <w:szCs w:val="21"/>
          <w:lang w:val="en-US" w:eastAsia="zh-CN"/>
        </w:rPr>
      </w:pPr>
      <w:r>
        <w:rPr>
          <w:rFonts w:hint="eastAsia" w:ascii="宋体" w:hAnsi="宋体"/>
          <w:b/>
          <w:kern w:val="0"/>
          <w:sz w:val="21"/>
          <w:szCs w:val="21"/>
          <w:lang w:val="en-US" w:eastAsia="zh-CN"/>
        </w:rPr>
        <w:t>注：</w:t>
      </w:r>
      <w:r>
        <w:rPr>
          <w:rFonts w:hint="eastAsia" w:ascii="宋体" w:hAnsi="宋体" w:eastAsia="宋体" w:cs="宋体"/>
          <w:b w:val="0"/>
          <w:bCs/>
          <w:sz w:val="21"/>
          <w:szCs w:val="21"/>
          <w:lang w:val="en-US" w:eastAsia="zh-CN"/>
        </w:rPr>
        <w:t>1、设有24小时监护中心，能及时响应老年人服务需求，服务半径范围一般不超过15分钟，并配有家庭养老照护床位运营管理系统；</w:t>
      </w:r>
    </w:p>
    <w:p>
      <w:pPr>
        <w:pStyle w:val="10"/>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cs="宋体"/>
          <w:b w:val="0"/>
          <w:bCs/>
          <w:sz w:val="21"/>
          <w:szCs w:val="21"/>
          <w:lang w:val="en-US" w:eastAsia="zh-CN"/>
        </w:rPr>
      </w:pPr>
      <w:r>
        <w:rPr>
          <w:rFonts w:hint="eastAsia" w:ascii="宋体" w:hAnsi="宋体" w:cs="宋体"/>
          <w:b w:val="0"/>
          <w:bCs/>
          <w:sz w:val="21"/>
          <w:szCs w:val="21"/>
          <w:lang w:val="en-US" w:eastAsia="zh-CN"/>
        </w:rPr>
        <w:t>2、配备与服务相匹配的专业团队，且相关人员均应符合行业要求并具备相关资质；</w:t>
      </w:r>
    </w:p>
    <w:p>
      <w:pPr>
        <w:pStyle w:val="10"/>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eastAsia" w:ascii="宋体" w:hAnsi="宋体" w:cs="宋体"/>
          <w:b w:val="0"/>
          <w:bCs/>
          <w:sz w:val="21"/>
          <w:szCs w:val="21"/>
          <w:lang w:val="en-US" w:eastAsia="zh-CN"/>
        </w:rPr>
      </w:pPr>
      <w:r>
        <w:rPr>
          <w:rFonts w:hint="eastAsia" w:ascii="宋体" w:hAnsi="宋体" w:cs="宋体"/>
          <w:b w:val="0"/>
          <w:bCs/>
          <w:sz w:val="21"/>
          <w:szCs w:val="21"/>
          <w:lang w:val="en-US" w:eastAsia="zh-CN"/>
        </w:rPr>
        <w:t>3、近两年内未纳入社会失信名单、未发生重大安全事故或群体信访事件。</w:t>
      </w:r>
    </w:p>
    <w:p>
      <w:pPr>
        <w:pStyle w:val="10"/>
        <w:keepNext w:val="0"/>
        <w:keepLines w:val="0"/>
        <w:pageBreakBefore w:val="0"/>
        <w:widowControl/>
        <w:kinsoku/>
        <w:wordWrap/>
        <w:overflowPunct/>
        <w:topLinePunct w:val="0"/>
        <w:autoSpaceDE/>
        <w:autoSpaceDN/>
        <w:bidi w:val="0"/>
        <w:snapToGrid/>
        <w:spacing w:line="440" w:lineRule="exact"/>
        <w:ind w:firstLine="420" w:firstLineChars="200"/>
        <w:textAlignment w:val="auto"/>
        <w:rPr>
          <w:rFonts w:hint="default" w:ascii="宋体" w:hAnsi="宋体" w:cs="宋体"/>
          <w:b w:val="0"/>
          <w:bCs/>
          <w:sz w:val="21"/>
          <w:szCs w:val="21"/>
          <w:lang w:val="en-US" w:eastAsia="zh-CN"/>
        </w:rPr>
      </w:pPr>
      <w:r>
        <w:rPr>
          <w:rFonts w:hint="eastAsia" w:ascii="宋体" w:hAnsi="宋体" w:cs="宋体"/>
          <w:b w:val="0"/>
          <w:bCs/>
          <w:sz w:val="21"/>
          <w:szCs w:val="21"/>
          <w:lang w:val="en-US" w:eastAsia="zh-CN"/>
        </w:rPr>
        <w:t>4、按照“统一服务标准、统一服务规范、统一服务流程、统一服务协议、统一指导价格、统一服务监管、统一管理平台”的原则，上门为老年人提供生活照料、居家护理等服务。中标单位要与服务对象或监护人共同商定服务内容并签定服务协议，服务前要做好各项服务安全预案与事项告知，并为工作人员购买相关责任保险。</w:t>
      </w:r>
    </w:p>
    <w:p>
      <w:pPr>
        <w:keepNext w:val="0"/>
        <w:keepLines w:val="0"/>
        <w:pageBreakBefore w:val="0"/>
        <w:widowControl/>
        <w:kinsoku/>
        <w:wordWrap/>
        <w:overflowPunct/>
        <w:topLinePunct w:val="0"/>
        <w:autoSpaceDE/>
        <w:autoSpaceDN/>
        <w:bidi w:val="0"/>
        <w:adjustRightInd w:val="0"/>
        <w:snapToGrid/>
        <w:spacing w:line="440" w:lineRule="exact"/>
        <w:textAlignment w:val="auto"/>
        <w:rPr>
          <w:rFonts w:hint="eastAsia" w:ascii="宋体" w:hAnsi="宋体"/>
          <w:b/>
          <w:kern w:val="0"/>
          <w:sz w:val="21"/>
          <w:szCs w:val="21"/>
        </w:rPr>
      </w:pPr>
      <w:r>
        <w:rPr>
          <w:rFonts w:hint="eastAsia" w:ascii="宋体" w:hAnsi="宋体"/>
          <w:b/>
          <w:kern w:val="0"/>
          <w:sz w:val="21"/>
          <w:szCs w:val="21"/>
        </w:rPr>
        <w:t>四、需要落实的政府采购政策</w:t>
      </w:r>
    </w:p>
    <w:p>
      <w:pPr>
        <w:keepNext w:val="0"/>
        <w:keepLines w:val="0"/>
        <w:pageBreakBefore w:val="0"/>
        <w:numPr>
          <w:ilvl w:val="1"/>
          <w:numId w:val="2"/>
        </w:numPr>
        <w:kinsoku/>
        <w:wordWrap/>
        <w:overflowPunct/>
        <w:topLinePunct w:val="0"/>
        <w:autoSpaceDE/>
        <w:autoSpaceDN/>
        <w:bidi w:val="0"/>
        <w:snapToGrid/>
        <w:spacing w:line="440" w:lineRule="exact"/>
        <w:ind w:firstLine="422" w:firstLineChars="200"/>
        <w:textAlignment w:val="auto"/>
        <w:rPr>
          <w:rFonts w:hint="eastAsia" w:ascii="宋体" w:hAnsi="宋体"/>
          <w:b/>
          <w:bCs/>
          <w:sz w:val="21"/>
          <w:szCs w:val="21"/>
        </w:rPr>
      </w:pPr>
      <w:r>
        <w:rPr>
          <w:rFonts w:hint="eastAsia" w:ascii="宋体" w:hAnsi="宋体"/>
          <w:b/>
          <w:bCs/>
          <w:sz w:val="21"/>
          <w:szCs w:val="21"/>
        </w:rPr>
        <w:t>促进中小企业、监狱企业和残疾人福利性单位发展扶持政策</w:t>
      </w:r>
    </w:p>
    <w:p>
      <w:pPr>
        <w:keepNext w:val="0"/>
        <w:keepLines w:val="0"/>
        <w:pageBreakBefore w:val="0"/>
        <w:kinsoku/>
        <w:wordWrap/>
        <w:overflowPunct/>
        <w:topLinePunct w:val="0"/>
        <w:autoSpaceDE/>
        <w:autoSpaceDN/>
        <w:bidi w:val="0"/>
        <w:snapToGrid/>
        <w:spacing w:line="440" w:lineRule="exact"/>
        <w:ind w:firstLine="422" w:firstLineChars="200"/>
        <w:textAlignment w:val="auto"/>
        <w:rPr>
          <w:rFonts w:hint="eastAsia" w:ascii="宋体" w:hAnsi="宋体"/>
          <w:bCs/>
          <w:sz w:val="21"/>
          <w:szCs w:val="21"/>
        </w:rPr>
      </w:pPr>
      <w:r>
        <w:rPr>
          <w:rFonts w:hint="eastAsia" w:ascii="宋体" w:hAnsi="宋体"/>
          <w:b/>
          <w:bCs/>
          <w:sz w:val="21"/>
          <w:szCs w:val="21"/>
        </w:rPr>
        <w:t>促进中小企业发展扶持政策</w:t>
      </w:r>
      <w:r>
        <w:rPr>
          <w:rFonts w:hint="eastAsia" w:ascii="宋体" w:hAnsi="宋体"/>
          <w:bCs/>
          <w:sz w:val="21"/>
          <w:szCs w:val="21"/>
        </w:rPr>
        <w:t>：</w:t>
      </w:r>
    </w:p>
    <w:p>
      <w:pPr>
        <w:keepNext w:val="0"/>
        <w:keepLines w:val="0"/>
        <w:pageBreakBefore w:val="0"/>
        <w:numPr>
          <w:ilvl w:val="0"/>
          <w:numId w:val="3"/>
        </w:numPr>
        <w:kinsoku/>
        <w:wordWrap/>
        <w:overflowPunct/>
        <w:topLinePunct w:val="0"/>
        <w:autoSpaceDE/>
        <w:autoSpaceDN/>
        <w:bidi w:val="0"/>
        <w:snapToGrid/>
        <w:spacing w:line="440" w:lineRule="exact"/>
        <w:ind w:firstLine="424" w:firstLineChars="202"/>
        <w:textAlignment w:val="auto"/>
        <w:rPr>
          <w:rFonts w:hint="eastAsia" w:ascii="宋体" w:hAnsi="宋体"/>
          <w:bCs/>
          <w:sz w:val="21"/>
          <w:szCs w:val="21"/>
        </w:rPr>
      </w:pPr>
      <w:r>
        <w:rPr>
          <w:rFonts w:hint="eastAsia" w:ascii="宋体" w:hAnsi="宋体"/>
          <w:bCs/>
          <w:sz w:val="21"/>
          <w:szCs w:val="21"/>
        </w:rPr>
        <w:t>中小企业认定：</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宋体" w:hAnsi="宋体"/>
          <w:bCs/>
          <w:sz w:val="21"/>
          <w:szCs w:val="21"/>
        </w:rPr>
      </w:pPr>
      <w:r>
        <w:rPr>
          <w:rFonts w:hint="eastAsia" w:ascii="宋体" w:hAnsi="宋体"/>
          <w:bCs/>
          <w:sz w:val="21"/>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宋体" w:hAnsi="宋体"/>
          <w:bCs/>
          <w:sz w:val="21"/>
          <w:szCs w:val="21"/>
        </w:rPr>
      </w:pPr>
      <w:r>
        <w:rPr>
          <w:rFonts w:hint="eastAsia" w:ascii="宋体" w:hAnsi="宋体"/>
          <w:bCs/>
          <w:sz w:val="21"/>
          <w:szCs w:val="21"/>
        </w:rPr>
        <w:t>符合中小企业划分标准的个体工商户，在政府采购活动中视同中小企业。</w:t>
      </w:r>
    </w:p>
    <w:p>
      <w:pPr>
        <w:pStyle w:val="12"/>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宋体" w:hAnsi="宋体"/>
          <w:sz w:val="21"/>
          <w:szCs w:val="21"/>
        </w:rPr>
      </w:pPr>
      <w:r>
        <w:rPr>
          <w:rFonts w:hint="eastAsia" w:ascii="宋体" w:hAnsi="宋体"/>
          <w:sz w:val="21"/>
          <w:szCs w:val="21"/>
        </w:rPr>
        <w:t>中小企业划分标准见《关于印发中小企业划型标准规定的通知》（工信部联企业〔2011〕300号）。</w:t>
      </w:r>
    </w:p>
    <w:p>
      <w:pPr>
        <w:keepNext w:val="0"/>
        <w:keepLines w:val="0"/>
        <w:pageBreakBefore w:val="0"/>
        <w:kinsoku/>
        <w:wordWrap/>
        <w:overflowPunct/>
        <w:topLinePunct w:val="0"/>
        <w:autoSpaceDE/>
        <w:autoSpaceDN/>
        <w:bidi w:val="0"/>
        <w:snapToGrid/>
        <w:spacing w:line="440" w:lineRule="exact"/>
        <w:ind w:firstLine="424" w:firstLineChars="202"/>
        <w:textAlignment w:val="auto"/>
        <w:rPr>
          <w:rFonts w:hint="eastAsia" w:ascii="宋体" w:hAnsi="宋体"/>
          <w:bCs/>
          <w:sz w:val="21"/>
          <w:szCs w:val="21"/>
        </w:rPr>
      </w:pPr>
      <w:r>
        <w:rPr>
          <w:rFonts w:hint="eastAsia" w:ascii="宋体" w:hAnsi="宋体"/>
          <w:bCs/>
          <w:sz w:val="21"/>
          <w:szCs w:val="21"/>
        </w:rPr>
        <w:t>2.在服务采购项目中，服务由中小企业承接，即提供服务的人员为中小企业依照《中华人民共和国劳动合同法》订立劳动合同的从业人员。</w:t>
      </w:r>
    </w:p>
    <w:p>
      <w:pPr>
        <w:keepNext w:val="0"/>
        <w:keepLines w:val="0"/>
        <w:pageBreakBefore w:val="0"/>
        <w:kinsoku/>
        <w:wordWrap/>
        <w:overflowPunct/>
        <w:topLinePunct w:val="0"/>
        <w:autoSpaceDE/>
        <w:autoSpaceDN/>
        <w:bidi w:val="0"/>
        <w:snapToGrid/>
        <w:spacing w:line="440" w:lineRule="exact"/>
        <w:ind w:firstLine="424" w:firstLineChars="202"/>
        <w:textAlignment w:val="auto"/>
        <w:rPr>
          <w:rFonts w:hint="eastAsia" w:ascii="宋体" w:hAnsi="宋体"/>
          <w:bCs/>
          <w:sz w:val="21"/>
          <w:szCs w:val="21"/>
        </w:rPr>
      </w:pPr>
      <w:r>
        <w:rPr>
          <w:rFonts w:hint="eastAsia" w:ascii="宋体" w:hAnsi="宋体"/>
          <w:bCs/>
          <w:sz w:val="21"/>
          <w:szCs w:val="21"/>
        </w:rPr>
        <w:t>投标人当按照招标文件规定出具《中小企业声明函》，否则不享受相关扶持政策。</w:t>
      </w:r>
    </w:p>
    <w:p>
      <w:pPr>
        <w:keepNext w:val="0"/>
        <w:keepLines w:val="0"/>
        <w:pageBreakBefore w:val="0"/>
        <w:kinsoku/>
        <w:wordWrap/>
        <w:overflowPunct/>
        <w:topLinePunct w:val="0"/>
        <w:autoSpaceDE/>
        <w:autoSpaceDN/>
        <w:bidi w:val="0"/>
        <w:snapToGrid/>
        <w:spacing w:line="440" w:lineRule="exact"/>
        <w:textAlignment w:val="auto"/>
        <w:rPr>
          <w:rFonts w:hint="eastAsia" w:ascii="宋体" w:hAnsi="宋体"/>
          <w:bCs/>
          <w:sz w:val="21"/>
          <w:szCs w:val="21"/>
        </w:rPr>
      </w:pPr>
      <w:r>
        <w:rPr>
          <w:rFonts w:hint="eastAsia" w:ascii="宋体" w:hAnsi="宋体"/>
          <w:bCs/>
          <w:sz w:val="21"/>
          <w:szCs w:val="21"/>
        </w:rPr>
        <w:t>　　3.根据财库〔2014〕68号《财政部司法部关于政府采购支持监狱企业发展有关问题的通知》，监狱企业视同小微企业。提供由省级以上监狱管理局、戒毒管理局(含新疆生产建设兵团)出具的属于监狱企业的证明文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rPr>
        <w:t>投标文件中附扫描件</w:t>
      </w:r>
      <w:r>
        <w:rPr>
          <w:rFonts w:hint="eastAsia" w:ascii="宋体" w:hAnsi="宋体"/>
          <w:b/>
          <w:spacing w:val="6"/>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不再提供《中小企业声明函》，投标人出具的监狱企业证明文件如有虚假，其成交资格将被取消，并根据相关规定进行处罚。</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宋体" w:hAnsi="宋体"/>
          <w:bCs/>
          <w:sz w:val="21"/>
          <w:szCs w:val="21"/>
        </w:rPr>
      </w:pPr>
      <w:r>
        <w:rPr>
          <w:rFonts w:hint="eastAsia" w:ascii="宋体" w:hAnsi="宋体"/>
          <w:bCs/>
          <w:sz w:val="21"/>
          <w:szCs w:val="21"/>
        </w:rPr>
        <w:t>4.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kinsoku/>
        <w:wordWrap/>
        <w:overflowPunct/>
        <w:topLinePunct w:val="0"/>
        <w:autoSpaceDE/>
        <w:autoSpaceDN/>
        <w:bidi w:val="0"/>
        <w:snapToGrid/>
        <w:spacing w:line="440" w:lineRule="exact"/>
        <w:ind w:firstLine="422" w:firstLineChars="200"/>
        <w:textAlignment w:val="auto"/>
        <w:rPr>
          <w:rFonts w:hint="eastAsia" w:ascii="宋体" w:hAnsi="宋体"/>
          <w:sz w:val="21"/>
          <w:szCs w:val="21"/>
        </w:rPr>
      </w:pPr>
      <w:r>
        <w:rPr>
          <w:rFonts w:hint="eastAsia" w:ascii="宋体" w:hAnsi="宋体"/>
          <w:b/>
          <w:bCs/>
          <w:sz w:val="21"/>
          <w:szCs w:val="21"/>
        </w:rPr>
        <w:t>采购人根据投标人提供的《中小企业声明函》认定该供应商是否属于中小企业，监狱企业和残疾人福利性单位视同小型、微型企业。不属于中小企业或监狱企业或残疾人福利性单位的拒绝参与本项目投标。</w:t>
      </w:r>
    </w:p>
    <w:p>
      <w:pPr>
        <w:pStyle w:val="6"/>
        <w:spacing w:line="480" w:lineRule="exact"/>
        <w:ind w:right="-72" w:rightChars="-30"/>
        <w:jc w:val="left"/>
        <w:rPr>
          <w:rFonts w:hint="eastAsia" w:ascii="宋体" w:hAnsi="宋体" w:cs="宋体"/>
          <w:bCs w:val="0"/>
          <w:color w:val="0D12E5"/>
          <w:sz w:val="21"/>
          <w:szCs w:val="21"/>
        </w:rPr>
      </w:pPr>
      <w:r>
        <w:rPr>
          <w:rFonts w:hint="eastAsia" w:ascii="宋体" w:hAnsi="宋体" w:cs="宋体"/>
          <w:bCs w:val="0"/>
          <w:color w:val="0D12E5"/>
          <w:sz w:val="21"/>
          <w:szCs w:val="21"/>
        </w:rPr>
        <w:t>注：本项目所属行业：</w:t>
      </w:r>
      <w:r>
        <w:rPr>
          <w:rFonts w:hint="eastAsia" w:ascii="宋体" w:hAnsi="宋体" w:cs="宋体"/>
          <w:bCs w:val="0"/>
          <w:color w:val="0D12E5"/>
          <w:sz w:val="21"/>
          <w:szCs w:val="21"/>
          <w:u w:val="single"/>
          <w:lang w:eastAsia="zh-CN"/>
        </w:rPr>
        <w:t>其他未列明行业（居民服务）</w:t>
      </w:r>
      <w:r>
        <w:rPr>
          <w:rFonts w:hint="eastAsia" w:ascii="宋体" w:hAnsi="宋体" w:cs="宋体"/>
          <w:bCs w:val="0"/>
          <w:color w:val="0D12E5"/>
          <w:sz w:val="21"/>
          <w:szCs w:val="21"/>
          <w:u w:val="single"/>
        </w:rPr>
        <w:t>。</w:t>
      </w:r>
    </w:p>
    <w:p>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panose1 w:val="02040602050305030304"/>
    <w:charset w:val="00"/>
    <w:family w:val="roman"/>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default" w:ascii="宋体" w:hAnsi="宋体" w:eastAsia="宋体" w:cs="宋体"/>
        <w:sz w:val="21"/>
        <w:szCs w:val="21"/>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713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ind w:left="420" w:leftChars="200" w:firstLine="420"/>
    </w:pPr>
  </w:style>
  <w:style w:type="paragraph" w:styleId="3">
    <w:name w:val="Body Text Indent"/>
    <w:basedOn w:val="1"/>
    <w:uiPriority w:val="0"/>
    <w:pPr>
      <w:ind w:firstLine="560" w:firstLineChars="200"/>
    </w:pPr>
    <w:rPr>
      <w:rFonts w:ascii="仿宋_GB2312" w:eastAsia="仿宋_GB2312"/>
      <w:kern w:val="2"/>
      <w:sz w:val="28"/>
    </w:rPr>
  </w:style>
  <w:style w:type="paragraph" w:styleId="4">
    <w:name w:val="Body Text"/>
    <w:basedOn w:val="1"/>
    <w:next w:val="5"/>
    <w:qFormat/>
    <w:uiPriority w:val="0"/>
    <w:rPr>
      <w:rFonts w:ascii="Times New Roman" w:hAnsi="Times New Roman" w:eastAsia="楷体_GB2312" w:cs="Times New Roman"/>
      <w:sz w:val="28"/>
      <w:szCs w:val="24"/>
    </w:rPr>
  </w:style>
  <w:style w:type="paragraph" w:styleId="5">
    <w:name w:val="Plain Text"/>
    <w:basedOn w:val="1"/>
    <w:qFormat/>
    <w:uiPriority w:val="0"/>
    <w:rPr>
      <w:rFonts w:ascii="宋体" w:hAnsi="Courier New" w:eastAsia="宋体" w:cs="Courier New"/>
      <w:kern w:val="2"/>
      <w:sz w:val="21"/>
      <w:szCs w:val="21"/>
      <w:lang w:val="en-US" w:eastAsia="zh-CN" w:bidi="ar-SA"/>
    </w:rPr>
  </w:style>
  <w:style w:type="paragraph" w:styleId="6">
    <w:name w:val="Title"/>
    <w:basedOn w:val="1"/>
    <w:qFormat/>
    <w:uiPriority w:val="0"/>
    <w:pPr>
      <w:spacing w:before="240" w:beforeLines="0" w:after="60" w:afterLines="0"/>
      <w:jc w:val="center"/>
      <w:outlineLvl w:val="0"/>
    </w:pPr>
    <w:rPr>
      <w:rFonts w:ascii="Arial" w:hAnsi="Arial" w:eastAsia="宋体" w:cs="Arial"/>
      <w:b/>
      <w:bCs/>
      <w:sz w:val="32"/>
      <w:szCs w:val="32"/>
    </w:rPr>
  </w:style>
  <w:style w:type="character" w:styleId="9">
    <w:name w:val="Strong"/>
    <w:basedOn w:val="8"/>
    <w:qFormat/>
    <w:uiPriority w:val="0"/>
    <w:rPr>
      <w:b/>
    </w:rPr>
  </w:style>
  <w:style w:type="paragraph" w:customStyle="1" w:styleId="10">
    <w:name w:val="Basistekst Batenburg"/>
    <w:basedOn w:val="11"/>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1">
    <w:name w:val="Zsysbasis Batenburg"/>
    <w:next w:val="10"/>
    <w:qFormat/>
    <w:uiPriority w:val="0"/>
    <w:pPr>
      <w:spacing w:line="300" w:lineRule="atLeast"/>
    </w:pPr>
    <w:rPr>
      <w:rFonts w:ascii="Calibri" w:hAnsi="Calibri" w:eastAsia="宋体" w:cs="Times New Roman"/>
      <w:sz w:val="22"/>
      <w:szCs w:val="18"/>
      <w:lang w:val="en-US" w:eastAsia="zh-CN" w:bidi="ar-SA"/>
    </w:rPr>
  </w:style>
  <w:style w:type="paragraph" w:customStyle="1" w:styleId="12">
    <w:name w:val="无间隔1"/>
    <w:basedOn w:val="1"/>
    <w:qFormat/>
    <w:uiPriority w:val="0"/>
    <w:pPr>
      <w:spacing w:line="400" w:lineRule="exact"/>
    </w:pPr>
    <w:rPr>
      <w:rFonts w:eastAsia="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2022-02-14T07:02:03Z</dcterms:created>
  <dc:creator>Administrator</dc:creator>
  <cp:lastModifiedBy>NTKO</cp:lastModifiedBy>
  <dcterms:modified xsi:type="dcterms:W3CDTF">2022-02-14T07:03:36Z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7D502836652D429483F28DE0096EF772</vt:lpwstr>
  </property>
</Properties>
</file>